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de-DE"/>
        </w:rPr>
        <w:id w:val="-513770923"/>
        <w:docPartObj>
          <w:docPartGallery w:val="Table of Contents"/>
          <w:docPartUnique/>
        </w:docPartObj>
      </w:sdtPr>
      <w:sdtEndPr>
        <w:rPr>
          <w:b/>
          <w:bCs/>
        </w:rPr>
      </w:sdtEndPr>
      <w:sdtContent>
        <w:p>
          <w:pPr>
            <w:pStyle w:val="StandardWeb"/>
            <w:jc w:val="both"/>
            <w:rPr>
              <w:rFonts w:ascii="Arial" w:hAnsi="Arial" w:cs="Arial"/>
              <w:b/>
              <w:color w:val="000000"/>
              <w:sz w:val="28"/>
              <w:szCs w:val="22"/>
            </w:rPr>
          </w:pPr>
          <w:r>
            <w:rPr>
              <w:rFonts w:ascii="Arial" w:hAnsi="Arial" w:cs="Arial"/>
              <w:b/>
              <w:color w:val="000000"/>
              <w:sz w:val="28"/>
              <w:szCs w:val="22"/>
            </w:rPr>
            <w:t>Förderbare Themenfelder und Zielgruppen für Integrationsprojekte</w:t>
          </w:r>
        </w:p>
        <w:p>
          <w:pPr>
            <w:pStyle w:val="Inhaltsverzeichnisberschrift"/>
          </w:pPr>
          <w:r>
            <w:rPr>
              <w:lang w:val="de-DE"/>
            </w:rPr>
            <w:t>Inhaltsverzeichnis</w:t>
          </w:r>
        </w:p>
        <w:p>
          <w:pPr>
            <w:pStyle w:val="Verzeichnis1"/>
            <w:tabs>
              <w:tab w:val="left" w:pos="48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4746413" w:history="1">
            <w:r>
              <w:rPr>
                <w:rStyle w:val="Hyperlink"/>
                <w:rFonts w:ascii="Arial" w:hAnsi="Arial" w:cs="Arial"/>
                <w:noProof/>
              </w:rPr>
              <w:t>1.</w:t>
            </w:r>
            <w:r>
              <w:rPr>
                <w:rFonts w:asciiTheme="minorHAnsi" w:eastAsiaTheme="minorEastAsia" w:hAnsiTheme="minorHAnsi" w:cstheme="minorBidi"/>
                <w:noProof/>
                <w:sz w:val="22"/>
                <w:szCs w:val="22"/>
              </w:rPr>
              <w:tab/>
            </w:r>
            <w:r>
              <w:rPr>
                <w:rStyle w:val="Hyperlink"/>
                <w:rFonts w:ascii="Arial" w:hAnsi="Arial" w:cs="Arial"/>
                <w:noProof/>
              </w:rPr>
              <w:t>Themenfelder der Integrationsförderung</w:t>
            </w:r>
            <w:r>
              <w:rPr>
                <w:noProof/>
                <w:webHidden/>
              </w:rPr>
              <w:tab/>
            </w:r>
            <w:r>
              <w:rPr>
                <w:noProof/>
                <w:webHidden/>
              </w:rPr>
              <w:fldChar w:fldCharType="begin"/>
            </w:r>
            <w:r>
              <w:rPr>
                <w:noProof/>
                <w:webHidden/>
              </w:rPr>
              <w:instrText xml:space="preserve"> PAGEREF _Toc74746413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880"/>
              <w:tab w:val="right" w:leader="dot" w:pos="9062"/>
            </w:tabs>
            <w:rPr>
              <w:rFonts w:asciiTheme="minorHAnsi" w:eastAsiaTheme="minorEastAsia" w:hAnsiTheme="minorHAnsi" w:cstheme="minorBidi"/>
              <w:noProof/>
              <w:sz w:val="22"/>
              <w:szCs w:val="22"/>
            </w:rPr>
          </w:pPr>
          <w:hyperlink w:anchor="_Toc74746414" w:history="1">
            <w:r>
              <w:rPr>
                <w:rStyle w:val="Hyperlink"/>
                <w:rFonts w:ascii="Arial" w:hAnsi="Arial" w:cs="Arial"/>
                <w:noProof/>
              </w:rPr>
              <w:t>1.1.</w:t>
            </w:r>
            <w:r>
              <w:rPr>
                <w:rFonts w:asciiTheme="minorHAnsi" w:eastAsiaTheme="minorEastAsia" w:hAnsiTheme="minorHAnsi" w:cstheme="minorBidi"/>
                <w:noProof/>
                <w:sz w:val="22"/>
                <w:szCs w:val="22"/>
              </w:rPr>
              <w:tab/>
            </w:r>
            <w:r>
              <w:rPr>
                <w:rStyle w:val="Hyperlink"/>
                <w:rFonts w:ascii="Arial" w:hAnsi="Arial" w:cs="Arial"/>
                <w:noProof/>
              </w:rPr>
              <w:t>Handlungsfelder</w:t>
            </w:r>
            <w:r>
              <w:rPr>
                <w:noProof/>
                <w:webHidden/>
              </w:rPr>
              <w:tab/>
            </w:r>
            <w:r>
              <w:rPr>
                <w:noProof/>
                <w:webHidden/>
              </w:rPr>
              <w:fldChar w:fldCharType="begin"/>
            </w:r>
            <w:r>
              <w:rPr>
                <w:noProof/>
                <w:webHidden/>
              </w:rPr>
              <w:instrText xml:space="preserve"> PAGEREF _Toc74746414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1320"/>
              <w:tab w:val="right" w:leader="dot" w:pos="9062"/>
            </w:tabs>
            <w:rPr>
              <w:rFonts w:asciiTheme="minorHAnsi" w:eastAsiaTheme="minorEastAsia" w:hAnsiTheme="minorHAnsi" w:cstheme="minorBidi"/>
              <w:noProof/>
              <w:sz w:val="22"/>
              <w:szCs w:val="22"/>
            </w:rPr>
          </w:pPr>
          <w:hyperlink w:anchor="_Toc74746415" w:history="1">
            <w:r>
              <w:rPr>
                <w:rStyle w:val="Hyperlink"/>
                <w:rFonts w:ascii="Arial" w:hAnsi="Arial" w:cs="Arial"/>
                <w:noProof/>
              </w:rPr>
              <w:t>1.1.1.</w:t>
            </w:r>
            <w:r>
              <w:rPr>
                <w:rFonts w:asciiTheme="minorHAnsi" w:eastAsiaTheme="minorEastAsia" w:hAnsiTheme="minorHAnsi" w:cstheme="minorBidi"/>
                <w:noProof/>
                <w:sz w:val="22"/>
                <w:szCs w:val="22"/>
              </w:rPr>
              <w:tab/>
            </w:r>
            <w:r>
              <w:rPr>
                <w:rStyle w:val="Hyperlink"/>
                <w:rFonts w:ascii="Arial" w:eastAsia="Times New Roman" w:hAnsi="Arial" w:cs="Arial"/>
                <w:noProof/>
              </w:rPr>
              <w:t>Sprache und Bildung:</w:t>
            </w:r>
            <w:r>
              <w:rPr>
                <w:noProof/>
                <w:webHidden/>
              </w:rPr>
              <w:tab/>
            </w:r>
            <w:r>
              <w:rPr>
                <w:noProof/>
                <w:webHidden/>
              </w:rPr>
              <w:fldChar w:fldCharType="begin"/>
            </w:r>
            <w:r>
              <w:rPr>
                <w:noProof/>
                <w:webHidden/>
              </w:rPr>
              <w:instrText xml:space="preserve"> PAGEREF _Toc74746415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1320"/>
              <w:tab w:val="right" w:leader="dot" w:pos="9062"/>
            </w:tabs>
            <w:rPr>
              <w:rFonts w:asciiTheme="minorHAnsi" w:eastAsiaTheme="minorEastAsia" w:hAnsiTheme="minorHAnsi" w:cstheme="minorBidi"/>
              <w:noProof/>
              <w:sz w:val="22"/>
              <w:szCs w:val="22"/>
            </w:rPr>
          </w:pPr>
          <w:hyperlink w:anchor="_Toc74746416" w:history="1">
            <w:r>
              <w:rPr>
                <w:rStyle w:val="Hyperlink"/>
                <w:rFonts w:ascii="Arial" w:hAnsi="Arial" w:cs="Arial"/>
                <w:noProof/>
              </w:rPr>
              <w:t>1.1.2.</w:t>
            </w:r>
            <w:r>
              <w:rPr>
                <w:rFonts w:asciiTheme="minorHAnsi" w:eastAsiaTheme="minorEastAsia" w:hAnsiTheme="minorHAnsi" w:cstheme="minorBidi"/>
                <w:noProof/>
                <w:sz w:val="22"/>
                <w:szCs w:val="22"/>
              </w:rPr>
              <w:tab/>
            </w:r>
            <w:r>
              <w:rPr>
                <w:rStyle w:val="Hyperlink"/>
                <w:rFonts w:ascii="Arial" w:eastAsia="Times New Roman" w:hAnsi="Arial" w:cs="Arial"/>
                <w:noProof/>
              </w:rPr>
              <w:t>Arbeit und Beruf:</w:t>
            </w:r>
            <w:r>
              <w:rPr>
                <w:noProof/>
                <w:webHidden/>
              </w:rPr>
              <w:tab/>
            </w:r>
            <w:r>
              <w:rPr>
                <w:noProof/>
                <w:webHidden/>
              </w:rPr>
              <w:fldChar w:fldCharType="begin"/>
            </w:r>
            <w:r>
              <w:rPr>
                <w:noProof/>
                <w:webHidden/>
              </w:rPr>
              <w:instrText xml:space="preserve"> PAGEREF _Toc74746416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1320"/>
              <w:tab w:val="right" w:leader="dot" w:pos="9062"/>
            </w:tabs>
            <w:rPr>
              <w:rFonts w:asciiTheme="minorHAnsi" w:eastAsiaTheme="minorEastAsia" w:hAnsiTheme="minorHAnsi" w:cstheme="minorBidi"/>
              <w:noProof/>
              <w:sz w:val="22"/>
              <w:szCs w:val="22"/>
            </w:rPr>
          </w:pPr>
          <w:hyperlink w:anchor="_Toc74746417" w:history="1">
            <w:r>
              <w:rPr>
                <w:rStyle w:val="Hyperlink"/>
                <w:rFonts w:ascii="Arial" w:hAnsi="Arial" w:cs="Arial"/>
                <w:noProof/>
              </w:rPr>
              <w:t>1.1.3.</w:t>
            </w:r>
            <w:r>
              <w:rPr>
                <w:rFonts w:asciiTheme="minorHAnsi" w:eastAsiaTheme="minorEastAsia" w:hAnsiTheme="minorHAnsi" w:cstheme="minorBidi"/>
                <w:noProof/>
                <w:sz w:val="22"/>
                <w:szCs w:val="22"/>
              </w:rPr>
              <w:tab/>
            </w:r>
            <w:r>
              <w:rPr>
                <w:rStyle w:val="Hyperlink"/>
                <w:rFonts w:ascii="Arial" w:hAnsi="Arial" w:cs="Arial"/>
                <w:noProof/>
              </w:rPr>
              <w:t>Rechtstaat und Werte</w:t>
            </w:r>
            <w:r>
              <w:rPr>
                <w:noProof/>
                <w:webHidden/>
              </w:rPr>
              <w:tab/>
            </w:r>
            <w:r>
              <w:rPr>
                <w:noProof/>
                <w:webHidden/>
              </w:rPr>
              <w:fldChar w:fldCharType="begin"/>
            </w:r>
            <w:r>
              <w:rPr>
                <w:noProof/>
                <w:webHidden/>
              </w:rPr>
              <w:instrText xml:space="preserve"> PAGEREF _Toc74746417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1320"/>
              <w:tab w:val="right" w:leader="dot" w:pos="9062"/>
            </w:tabs>
            <w:rPr>
              <w:rFonts w:asciiTheme="minorHAnsi" w:eastAsiaTheme="minorEastAsia" w:hAnsiTheme="minorHAnsi" w:cstheme="minorBidi"/>
              <w:noProof/>
              <w:sz w:val="22"/>
              <w:szCs w:val="22"/>
            </w:rPr>
          </w:pPr>
          <w:hyperlink w:anchor="_Toc74746418" w:history="1">
            <w:r>
              <w:rPr>
                <w:rStyle w:val="Hyperlink"/>
                <w:rFonts w:ascii="Arial" w:hAnsi="Arial" w:cs="Arial"/>
                <w:noProof/>
              </w:rPr>
              <w:t>1.1.4.</w:t>
            </w:r>
            <w:r>
              <w:rPr>
                <w:rFonts w:asciiTheme="minorHAnsi" w:eastAsiaTheme="minorEastAsia" w:hAnsiTheme="minorHAnsi" w:cstheme="minorBidi"/>
                <w:noProof/>
                <w:sz w:val="22"/>
                <w:szCs w:val="22"/>
              </w:rPr>
              <w:tab/>
            </w:r>
            <w:r>
              <w:rPr>
                <w:rStyle w:val="Hyperlink"/>
                <w:rFonts w:ascii="Arial" w:hAnsi="Arial" w:cs="Arial"/>
                <w:noProof/>
              </w:rPr>
              <w:t>Gesundheit und Soziales</w:t>
            </w:r>
            <w:r>
              <w:rPr>
                <w:noProof/>
                <w:webHidden/>
              </w:rPr>
              <w:tab/>
            </w:r>
            <w:r>
              <w:rPr>
                <w:noProof/>
                <w:webHidden/>
              </w:rPr>
              <w:fldChar w:fldCharType="begin"/>
            </w:r>
            <w:r>
              <w:rPr>
                <w:noProof/>
                <w:webHidden/>
              </w:rPr>
              <w:instrText xml:space="preserve"> PAGEREF _Toc74746418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left" w:pos="1320"/>
              <w:tab w:val="right" w:leader="dot" w:pos="9062"/>
            </w:tabs>
            <w:rPr>
              <w:rFonts w:asciiTheme="minorHAnsi" w:eastAsiaTheme="minorEastAsia" w:hAnsiTheme="minorHAnsi" w:cstheme="minorBidi"/>
              <w:noProof/>
              <w:sz w:val="22"/>
              <w:szCs w:val="22"/>
            </w:rPr>
          </w:pPr>
          <w:hyperlink w:anchor="_Toc74746419" w:history="1">
            <w:r>
              <w:rPr>
                <w:rStyle w:val="Hyperlink"/>
                <w:rFonts w:ascii="Arial" w:hAnsi="Arial" w:cs="Arial"/>
                <w:noProof/>
              </w:rPr>
              <w:t>1.1.5.</w:t>
            </w:r>
            <w:r>
              <w:rPr>
                <w:rFonts w:asciiTheme="minorHAnsi" w:eastAsiaTheme="minorEastAsia" w:hAnsiTheme="minorHAnsi" w:cstheme="minorBidi"/>
                <w:noProof/>
                <w:sz w:val="22"/>
                <w:szCs w:val="22"/>
              </w:rPr>
              <w:tab/>
            </w:r>
            <w:r>
              <w:rPr>
                <w:rStyle w:val="Hyperlink"/>
                <w:rFonts w:ascii="Arial" w:hAnsi="Arial" w:cs="Arial"/>
                <w:noProof/>
              </w:rPr>
              <w:t>Interkultureller Dialog + Gemeinden</w:t>
            </w:r>
            <w:r>
              <w:rPr>
                <w:noProof/>
                <w:webHidden/>
              </w:rPr>
              <w:tab/>
            </w:r>
            <w:r>
              <w:rPr>
                <w:noProof/>
                <w:webHidden/>
              </w:rPr>
              <w:fldChar w:fldCharType="begin"/>
            </w:r>
            <w:r>
              <w:rPr>
                <w:noProof/>
                <w:webHidden/>
              </w:rPr>
              <w:instrText xml:space="preserve"> PAGEREF _Toc74746419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left" w:pos="1320"/>
              <w:tab w:val="right" w:leader="dot" w:pos="9062"/>
            </w:tabs>
            <w:rPr>
              <w:rFonts w:asciiTheme="minorHAnsi" w:eastAsiaTheme="minorEastAsia" w:hAnsiTheme="minorHAnsi" w:cstheme="minorBidi"/>
              <w:noProof/>
              <w:sz w:val="22"/>
              <w:szCs w:val="22"/>
            </w:rPr>
          </w:pPr>
          <w:hyperlink w:anchor="_Toc74746420" w:history="1">
            <w:r>
              <w:rPr>
                <w:rStyle w:val="Hyperlink"/>
                <w:rFonts w:ascii="Arial" w:hAnsi="Arial" w:cs="Arial"/>
                <w:noProof/>
              </w:rPr>
              <w:t>1.1.6.</w:t>
            </w:r>
            <w:r>
              <w:rPr>
                <w:rFonts w:asciiTheme="minorHAnsi" w:eastAsiaTheme="minorEastAsia" w:hAnsiTheme="minorHAnsi" w:cstheme="minorBidi"/>
                <w:noProof/>
                <w:sz w:val="22"/>
                <w:szCs w:val="22"/>
              </w:rPr>
              <w:tab/>
            </w:r>
            <w:r>
              <w:rPr>
                <w:rStyle w:val="Hyperlink"/>
                <w:rFonts w:ascii="Arial" w:hAnsi="Arial" w:cs="Arial"/>
                <w:noProof/>
              </w:rPr>
              <w:t>Sport und Freizeit</w:t>
            </w:r>
            <w:r>
              <w:rPr>
                <w:noProof/>
                <w:webHidden/>
              </w:rPr>
              <w:tab/>
            </w:r>
            <w:r>
              <w:rPr>
                <w:noProof/>
                <w:webHidden/>
              </w:rPr>
              <w:fldChar w:fldCharType="begin"/>
            </w:r>
            <w:r>
              <w:rPr>
                <w:noProof/>
                <w:webHidden/>
              </w:rPr>
              <w:instrText xml:space="preserve"> PAGEREF _Toc74746420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left" w:pos="1320"/>
              <w:tab w:val="right" w:leader="dot" w:pos="9062"/>
            </w:tabs>
            <w:rPr>
              <w:rFonts w:asciiTheme="minorHAnsi" w:eastAsiaTheme="minorEastAsia" w:hAnsiTheme="minorHAnsi" w:cstheme="minorBidi"/>
              <w:noProof/>
              <w:sz w:val="22"/>
              <w:szCs w:val="22"/>
            </w:rPr>
          </w:pPr>
          <w:hyperlink w:anchor="_Toc74746421" w:history="1">
            <w:r>
              <w:rPr>
                <w:rStyle w:val="Hyperlink"/>
                <w:rFonts w:ascii="Arial" w:hAnsi="Arial" w:cs="Arial"/>
                <w:noProof/>
              </w:rPr>
              <w:t>1.1.7.</w:t>
            </w:r>
            <w:r>
              <w:rPr>
                <w:rFonts w:asciiTheme="minorHAnsi" w:eastAsiaTheme="minorEastAsia" w:hAnsiTheme="minorHAnsi" w:cstheme="minorBidi"/>
                <w:noProof/>
                <w:sz w:val="22"/>
                <w:szCs w:val="22"/>
              </w:rPr>
              <w:tab/>
            </w:r>
            <w:r>
              <w:rPr>
                <w:rStyle w:val="Hyperlink"/>
                <w:rFonts w:ascii="Arial" w:hAnsi="Arial" w:cs="Arial"/>
                <w:noProof/>
              </w:rPr>
              <w:t>Wohnen und die regionale Dimension der Integration</w:t>
            </w:r>
            <w:r>
              <w:rPr>
                <w:noProof/>
                <w:webHidden/>
              </w:rPr>
              <w:tab/>
            </w:r>
            <w:r>
              <w:rPr>
                <w:noProof/>
                <w:webHidden/>
              </w:rPr>
              <w:fldChar w:fldCharType="begin"/>
            </w:r>
            <w:r>
              <w:rPr>
                <w:noProof/>
                <w:webHidden/>
              </w:rPr>
              <w:instrText xml:space="preserve"> PAGEREF _Toc74746421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left" w:pos="480"/>
              <w:tab w:val="right" w:leader="dot" w:pos="9062"/>
            </w:tabs>
            <w:rPr>
              <w:rFonts w:asciiTheme="minorHAnsi" w:eastAsiaTheme="minorEastAsia" w:hAnsiTheme="minorHAnsi" w:cstheme="minorBidi"/>
              <w:noProof/>
              <w:sz w:val="22"/>
              <w:szCs w:val="22"/>
            </w:rPr>
          </w:pPr>
          <w:hyperlink w:anchor="_Toc74746422" w:history="1">
            <w:r>
              <w:rPr>
                <w:rStyle w:val="Hyperlink"/>
                <w:rFonts w:ascii="Arial" w:hAnsi="Arial" w:cs="Arial"/>
                <w:noProof/>
              </w:rPr>
              <w:t>2.</w:t>
            </w:r>
            <w:r>
              <w:rPr>
                <w:rFonts w:asciiTheme="minorHAnsi" w:eastAsiaTheme="minorEastAsia" w:hAnsiTheme="minorHAnsi" w:cstheme="minorBidi"/>
                <w:noProof/>
                <w:sz w:val="22"/>
                <w:szCs w:val="22"/>
              </w:rPr>
              <w:tab/>
            </w:r>
            <w:r>
              <w:rPr>
                <w:rStyle w:val="Hyperlink"/>
                <w:rFonts w:ascii="Arial" w:hAnsi="Arial" w:cs="Arial"/>
                <w:noProof/>
              </w:rPr>
              <w:t>Zielgruppe</w:t>
            </w:r>
            <w:r>
              <w:rPr>
                <w:noProof/>
                <w:webHidden/>
              </w:rPr>
              <w:tab/>
            </w:r>
            <w:r>
              <w:rPr>
                <w:noProof/>
                <w:webHidden/>
              </w:rPr>
              <w:fldChar w:fldCharType="begin"/>
            </w:r>
            <w:r>
              <w:rPr>
                <w:noProof/>
                <w:webHidden/>
              </w:rPr>
              <w:instrText xml:space="preserve"> PAGEREF _Toc74746422 \h </w:instrText>
            </w:r>
            <w:r>
              <w:rPr>
                <w:noProof/>
                <w:webHidden/>
              </w:rPr>
            </w:r>
            <w:r>
              <w:rPr>
                <w:noProof/>
                <w:webHidden/>
              </w:rPr>
              <w:fldChar w:fldCharType="separate"/>
            </w:r>
            <w:r>
              <w:rPr>
                <w:noProof/>
                <w:webHidden/>
              </w:rPr>
              <w:t>4</w:t>
            </w:r>
            <w:r>
              <w:rPr>
                <w:noProof/>
                <w:webHidden/>
              </w:rPr>
              <w:fldChar w:fldCharType="end"/>
            </w:r>
          </w:hyperlink>
        </w:p>
        <w:p>
          <w:r>
            <w:rPr>
              <w:b/>
              <w:bCs/>
              <w:lang w:val="de-DE"/>
            </w:rPr>
            <w:fldChar w:fldCharType="end"/>
          </w:r>
        </w:p>
      </w:sdtContent>
    </w:sdt>
    <w:p>
      <w:pPr>
        <w:rPr>
          <w:rFonts w:ascii="Arial" w:hAnsi="Arial" w:cs="Arial"/>
          <w:b/>
          <w:color w:val="000000"/>
          <w:sz w:val="28"/>
          <w:szCs w:val="22"/>
        </w:rPr>
      </w:pPr>
      <w:r>
        <w:rPr>
          <w:rFonts w:ascii="Arial" w:hAnsi="Arial" w:cs="Arial"/>
          <w:b/>
          <w:color w:val="000000"/>
          <w:sz w:val="28"/>
          <w:szCs w:val="22"/>
        </w:rPr>
        <w:br w:type="page"/>
      </w:r>
    </w:p>
    <w:p>
      <w:pPr>
        <w:pStyle w:val="StandardWeb"/>
        <w:jc w:val="both"/>
        <w:rPr>
          <w:rFonts w:ascii="Arial" w:hAnsi="Arial" w:cs="Arial"/>
          <w:b/>
          <w:color w:val="000000"/>
          <w:sz w:val="28"/>
          <w:szCs w:val="22"/>
        </w:rPr>
      </w:pPr>
    </w:p>
    <w:p>
      <w:pPr>
        <w:pStyle w:val="StandardWeb"/>
        <w:jc w:val="both"/>
        <w:rPr>
          <w:rFonts w:ascii="Arial" w:hAnsi="Arial" w:cs="Arial"/>
          <w:b/>
          <w:color w:val="000000"/>
          <w:sz w:val="28"/>
          <w:szCs w:val="22"/>
        </w:rPr>
      </w:pPr>
      <w:r>
        <w:rPr>
          <w:rFonts w:ascii="Arial" w:hAnsi="Arial" w:cs="Arial"/>
          <w:b/>
          <w:color w:val="000000"/>
          <w:sz w:val="28"/>
          <w:szCs w:val="22"/>
        </w:rPr>
        <w:t>Förderbare Themenfelder und Zielgruppen für Integrationsprojekte</w:t>
      </w:r>
    </w:p>
    <w:p>
      <w:pPr>
        <w:pStyle w:val="StandardWeb"/>
        <w:jc w:val="both"/>
        <w:rPr>
          <w:rFonts w:ascii="Arial" w:hAnsi="Arial" w:cs="Arial"/>
          <w:color w:val="000000"/>
          <w:sz w:val="22"/>
          <w:szCs w:val="22"/>
        </w:rPr>
      </w:pPr>
    </w:p>
    <w:p>
      <w:pPr>
        <w:pStyle w:val="StandardWeb"/>
        <w:numPr>
          <w:ilvl w:val="0"/>
          <w:numId w:val="3"/>
        </w:numPr>
        <w:jc w:val="both"/>
        <w:outlineLvl w:val="0"/>
        <w:rPr>
          <w:rFonts w:ascii="Arial" w:hAnsi="Arial" w:cs="Arial"/>
          <w:color w:val="000000"/>
          <w:sz w:val="22"/>
          <w:szCs w:val="22"/>
          <w:u w:val="single"/>
        </w:rPr>
      </w:pPr>
      <w:bookmarkStart w:id="0" w:name="_Toc74746413"/>
      <w:r>
        <w:rPr>
          <w:rFonts w:ascii="Arial" w:hAnsi="Arial" w:cs="Arial"/>
          <w:color w:val="000000"/>
          <w:sz w:val="22"/>
          <w:szCs w:val="22"/>
          <w:u w:val="single"/>
        </w:rPr>
        <w:t>Themenfelder der Integrationsförderung</w:t>
      </w:r>
      <w:bookmarkEnd w:id="0"/>
      <w:r>
        <w:rPr>
          <w:rFonts w:ascii="Arial" w:hAnsi="Arial" w:cs="Arial"/>
          <w:color w:val="000000"/>
          <w:sz w:val="22"/>
          <w:szCs w:val="22"/>
          <w:u w:val="single"/>
        </w:rPr>
        <w:t xml:space="preserve"> </w:t>
      </w:r>
    </w:p>
    <w:p>
      <w:pPr>
        <w:pStyle w:val="StandardWeb"/>
        <w:ind w:left="360"/>
        <w:jc w:val="both"/>
        <w:rPr>
          <w:rFonts w:ascii="Arial" w:hAnsi="Arial" w:cs="Arial"/>
          <w:color w:val="000000"/>
          <w:sz w:val="22"/>
          <w:szCs w:val="22"/>
          <w:u w:val="single"/>
        </w:rPr>
      </w:pPr>
    </w:p>
    <w:p>
      <w:pPr>
        <w:pStyle w:val="StandardWeb"/>
        <w:numPr>
          <w:ilvl w:val="1"/>
          <w:numId w:val="3"/>
        </w:numPr>
        <w:jc w:val="both"/>
        <w:outlineLvl w:val="1"/>
        <w:rPr>
          <w:rFonts w:ascii="Arial" w:hAnsi="Arial" w:cs="Arial"/>
          <w:color w:val="000000"/>
          <w:sz w:val="22"/>
          <w:szCs w:val="22"/>
        </w:rPr>
      </w:pPr>
      <w:bookmarkStart w:id="1" w:name="_Toc74746414"/>
      <w:r>
        <w:rPr>
          <w:rFonts w:ascii="Arial" w:hAnsi="Arial" w:cs="Arial"/>
          <w:color w:val="000000"/>
          <w:sz w:val="22"/>
          <w:szCs w:val="22"/>
          <w:u w:val="single"/>
        </w:rPr>
        <w:t>Handlungsfelder</w:t>
      </w:r>
      <w:bookmarkEnd w:id="1"/>
    </w:p>
    <w:p>
      <w:pPr>
        <w:pStyle w:val="StandardWeb"/>
        <w:ind w:left="792"/>
        <w:jc w:val="both"/>
        <w:rPr>
          <w:rFonts w:ascii="Arial" w:hAnsi="Arial" w:cs="Arial"/>
          <w:color w:val="000000"/>
          <w:sz w:val="22"/>
          <w:szCs w:val="22"/>
        </w:rPr>
      </w:pPr>
      <w:r>
        <w:rPr>
          <w:rFonts w:ascii="Arial" w:hAnsi="Arial" w:cs="Arial"/>
          <w:color w:val="000000"/>
          <w:sz w:val="22"/>
          <w:szCs w:val="22"/>
        </w:rPr>
        <w:t>Die Projektvorschläge sollen den Handlungsfeldern im Integrationsleitbild 2008, im Integrationsleitfaden 2012 und im Nationalen Aktionsplan für Integration (NAP.I) zuordenbar sein.</w:t>
      </w:r>
    </w:p>
    <w:p>
      <w:pPr>
        <w:pStyle w:val="StandardWeb"/>
        <w:ind w:left="792"/>
        <w:jc w:val="both"/>
        <w:rPr>
          <w:rFonts w:ascii="Arial" w:hAnsi="Arial" w:cs="Arial"/>
          <w:color w:val="000000"/>
          <w:sz w:val="22"/>
          <w:szCs w:val="22"/>
        </w:rPr>
      </w:pPr>
    </w:p>
    <w:p>
      <w:pPr>
        <w:pStyle w:val="StandardWeb"/>
        <w:numPr>
          <w:ilvl w:val="2"/>
          <w:numId w:val="3"/>
        </w:numPr>
        <w:jc w:val="both"/>
        <w:outlineLvl w:val="2"/>
        <w:rPr>
          <w:rFonts w:ascii="Arial" w:hAnsi="Arial" w:cs="Arial"/>
          <w:color w:val="000000"/>
          <w:sz w:val="22"/>
          <w:szCs w:val="22"/>
        </w:rPr>
      </w:pPr>
      <w:bookmarkStart w:id="2" w:name="_Toc74746415"/>
      <w:r>
        <w:rPr>
          <w:rFonts w:ascii="Arial" w:eastAsia="Times New Roman" w:hAnsi="Arial" w:cs="Arial"/>
          <w:color w:val="000000"/>
          <w:sz w:val="22"/>
          <w:szCs w:val="22"/>
          <w:u w:val="single"/>
        </w:rPr>
        <w:t>Sprache und Bildung:</w:t>
      </w:r>
      <w:bookmarkEnd w:id="2"/>
    </w:p>
    <w:p>
      <w:pPr>
        <w:pStyle w:val="Listenabsatz"/>
        <w:shd w:val="clear" w:color="auto" w:fill="FFFFFF"/>
        <w:ind w:left="1418"/>
        <w:jc w:val="both"/>
        <w:rPr>
          <w:rFonts w:ascii="Arial" w:eastAsia="Times New Roman" w:hAnsi="Arial" w:cs="Arial"/>
          <w:b/>
          <w:i/>
          <w:color w:val="000000"/>
          <w:sz w:val="22"/>
          <w:szCs w:val="22"/>
        </w:rPr>
      </w:pPr>
      <w:r>
        <w:rPr>
          <w:rFonts w:ascii="Arial" w:eastAsia="Times New Roman" w:hAnsi="Arial" w:cs="Arial"/>
          <w:color w:val="000000"/>
          <w:sz w:val="22"/>
          <w:szCs w:val="22"/>
        </w:rPr>
        <w:t>Die Sprache ist der Schlüssel und die Voraussetzung für eine erfolgreiche Integration. Sie bildet die Grundlage für eine Teilhabe an der Gesellschaft und für alle weiteren Integrationsprozesse.</w:t>
      </w:r>
      <w:r>
        <w:rPr>
          <w:rFonts w:ascii="Arial" w:eastAsia="Times New Roman" w:hAnsi="Arial" w:cs="Arial"/>
          <w:b/>
          <w:i/>
          <w:color w:val="000000"/>
          <w:sz w:val="22"/>
          <w:szCs w:val="22"/>
        </w:rPr>
        <w:tab/>
      </w:r>
    </w:p>
    <w:p>
      <w:pPr>
        <w:pStyle w:val="Listenabsatz"/>
        <w:shd w:val="clear" w:color="auto" w:fill="FFFFFF"/>
        <w:ind w:left="360"/>
        <w:jc w:val="both"/>
        <w:rPr>
          <w:rFonts w:ascii="Arial" w:eastAsia="Times New Roman" w:hAnsi="Arial" w:cs="Arial"/>
          <w:b/>
          <w:i/>
          <w:color w:val="000000"/>
          <w:sz w:val="22"/>
          <w:szCs w:val="22"/>
        </w:rPr>
      </w:pPr>
    </w:p>
    <w:p>
      <w:pPr>
        <w:pStyle w:val="StandardWeb"/>
        <w:ind w:left="1418"/>
        <w:jc w:val="both"/>
        <w:rPr>
          <w:rFonts w:ascii="Arial" w:eastAsia="Times New Roman" w:hAnsi="Arial" w:cs="Arial"/>
          <w:i/>
          <w:color w:val="000000"/>
          <w:sz w:val="22"/>
          <w:szCs w:val="22"/>
        </w:rPr>
      </w:pPr>
      <w:r>
        <w:rPr>
          <w:rFonts w:ascii="Arial" w:eastAsia="Times New Roman" w:hAnsi="Arial" w:cs="Arial"/>
          <w:b/>
          <w:i/>
          <w:color w:val="000000"/>
          <w:sz w:val="22"/>
          <w:szCs w:val="22"/>
        </w:rPr>
        <w:t>Hinweis:</w:t>
      </w:r>
      <w:r>
        <w:rPr>
          <w:rFonts w:ascii="Arial" w:eastAsia="Times New Roman" w:hAnsi="Arial" w:cs="Arial"/>
          <w:i/>
          <w:color w:val="000000"/>
          <w:sz w:val="22"/>
          <w:szCs w:val="22"/>
        </w:rPr>
        <w:t xml:space="preserve"> Sprachkurse, die bereits auf Basis gesetzlicher Bestimmungen angeboten werden, werden nicht gefördert. Mit 1. Juni 2019 trat das novellierte Integrationsgesetz in Kraft, das zusätzlich zur Zertifizierung von Kursträgerinnen und Kursträgern zur Abhaltung von Deutschkursen im Rahmen der Integrationsvereinbarung eine solche Zertifizierung auch für die Abhaltung von Deutschkursen im Rahmen des § 4 Integrationsgesetz vorsieht. Die mit 2. Oktober 2019 in Kraft getretene Integrationsgesetz-Durchführungsverordnung (</w:t>
      </w:r>
      <w:proofErr w:type="spellStart"/>
      <w:r>
        <w:rPr>
          <w:rFonts w:ascii="Arial" w:eastAsia="Times New Roman" w:hAnsi="Arial" w:cs="Arial"/>
          <w:i/>
          <w:color w:val="000000"/>
          <w:sz w:val="22"/>
          <w:szCs w:val="22"/>
        </w:rPr>
        <w:t>IntG</w:t>
      </w:r>
      <w:proofErr w:type="spellEnd"/>
      <w:r>
        <w:rPr>
          <w:rFonts w:ascii="Arial" w:eastAsia="Times New Roman" w:hAnsi="Arial" w:cs="Arial"/>
          <w:i/>
          <w:color w:val="000000"/>
          <w:sz w:val="22"/>
          <w:szCs w:val="22"/>
        </w:rPr>
        <w:t>-DV) enthält neue Detailbestimmungen zur Zertifizierung von Kursträgern, zur elektronischen Erfassung von Lehrkräften, zu Deutsch- und Integrationskursen sowie zu Integrations- und Sprachprüfungen des ÖIF.</w:t>
      </w:r>
    </w:p>
    <w:p>
      <w:pPr>
        <w:pStyle w:val="StandardWeb"/>
        <w:ind w:left="1418"/>
        <w:jc w:val="both"/>
        <w:rPr>
          <w:rStyle w:val="Hyperlink"/>
          <w:rFonts w:ascii="Arial" w:eastAsia="Times New Roman" w:hAnsi="Arial" w:cs="Arial"/>
          <w:i/>
          <w:sz w:val="20"/>
          <w:szCs w:val="20"/>
        </w:rPr>
      </w:pPr>
      <w:hyperlink r:id="rId8" w:history="1">
        <w:r>
          <w:rPr>
            <w:rStyle w:val="Hyperlink"/>
            <w:rFonts w:ascii="Arial" w:eastAsia="Times New Roman" w:hAnsi="Arial" w:cs="Arial"/>
            <w:i/>
            <w:sz w:val="20"/>
            <w:szCs w:val="20"/>
          </w:rPr>
          <w:t>https://www.integrationsfonds.at/sprache/integrationsvereinbarung/integrationsvereinbarung-2017-und-intg-dv-2</w:t>
        </w:r>
      </w:hyperlink>
    </w:p>
    <w:p>
      <w:pPr>
        <w:pStyle w:val="StandardWeb"/>
        <w:ind w:left="1418"/>
        <w:jc w:val="both"/>
        <w:rPr>
          <w:rFonts w:ascii="Arial" w:eastAsia="Times New Roman" w:hAnsi="Arial" w:cs="Arial"/>
          <w:i/>
          <w:color w:val="000000"/>
          <w:sz w:val="22"/>
          <w:szCs w:val="22"/>
        </w:rPr>
      </w:pPr>
    </w:p>
    <w:p>
      <w:pPr>
        <w:pStyle w:val="Listenabsatz"/>
        <w:shd w:val="clear" w:color="auto" w:fill="FFFFFF"/>
        <w:ind w:left="1418"/>
        <w:jc w:val="both"/>
        <w:rPr>
          <w:rFonts w:ascii="Arial" w:eastAsia="Times New Roman" w:hAnsi="Arial" w:cs="Arial"/>
          <w:i/>
          <w:color w:val="000000"/>
          <w:sz w:val="22"/>
          <w:szCs w:val="22"/>
        </w:rPr>
      </w:pPr>
      <w:r>
        <w:rPr>
          <w:rFonts w:ascii="Arial" w:eastAsia="Times New Roman" w:hAnsi="Arial" w:cs="Arial"/>
          <w:b/>
          <w:i/>
          <w:color w:val="000000"/>
          <w:sz w:val="22"/>
          <w:szCs w:val="22"/>
        </w:rPr>
        <w:t>Beispiele:</w:t>
      </w:r>
      <w:r>
        <w:rPr>
          <w:rFonts w:ascii="Arial" w:eastAsia="Times New Roman" w:hAnsi="Arial" w:cs="Arial"/>
          <w:i/>
          <w:color w:val="000000"/>
          <w:sz w:val="22"/>
          <w:szCs w:val="22"/>
        </w:rPr>
        <w:t xml:space="preserve"> Außerschulische Lernbetreuung und Lernunterstützung für Schülerinnen und Schüler aus vulnerablen Verhältnissen. Maßnahmen für Jugendliche beim Übergang zwischen Schule und Beruf, niederschwellige Sprachlernangebote in diversen Begegnungsprojekten.</w:t>
      </w:r>
    </w:p>
    <w:p>
      <w:pPr>
        <w:pStyle w:val="StandardWeb"/>
        <w:ind w:left="1418"/>
        <w:jc w:val="both"/>
        <w:rPr>
          <w:rFonts w:ascii="Arial" w:eastAsia="Times New Roman" w:hAnsi="Arial" w:cs="Arial"/>
          <w:i/>
          <w:color w:val="000000"/>
          <w:sz w:val="22"/>
          <w:szCs w:val="22"/>
        </w:rPr>
      </w:pPr>
    </w:p>
    <w:p>
      <w:pPr>
        <w:pStyle w:val="StandardWeb"/>
        <w:jc w:val="both"/>
        <w:rPr>
          <w:rFonts w:ascii="Arial" w:hAnsi="Arial" w:cs="Arial"/>
          <w:color w:val="000000"/>
          <w:sz w:val="22"/>
          <w:szCs w:val="22"/>
        </w:rPr>
      </w:pPr>
    </w:p>
    <w:p>
      <w:pPr>
        <w:pStyle w:val="StandardWeb"/>
        <w:numPr>
          <w:ilvl w:val="2"/>
          <w:numId w:val="3"/>
        </w:numPr>
        <w:jc w:val="both"/>
        <w:outlineLvl w:val="2"/>
        <w:rPr>
          <w:rFonts w:ascii="Arial" w:hAnsi="Arial" w:cs="Arial"/>
          <w:color w:val="000000"/>
          <w:sz w:val="22"/>
          <w:szCs w:val="22"/>
        </w:rPr>
      </w:pPr>
      <w:bookmarkStart w:id="3" w:name="_Toc74746416"/>
      <w:r>
        <w:rPr>
          <w:rFonts w:ascii="Arial" w:eastAsia="Times New Roman" w:hAnsi="Arial" w:cs="Arial"/>
          <w:color w:val="000000"/>
          <w:sz w:val="22"/>
          <w:szCs w:val="22"/>
          <w:u w:val="single"/>
        </w:rPr>
        <w:t>Arbeit und Beruf:</w:t>
      </w:r>
      <w:bookmarkEnd w:id="3"/>
    </w:p>
    <w:p>
      <w:pPr>
        <w:pStyle w:val="Listenabsatz"/>
        <w:shd w:val="clear" w:color="auto" w:fill="FFFFFF"/>
        <w:ind w:left="1418"/>
        <w:jc w:val="both"/>
        <w:rPr>
          <w:rFonts w:ascii="Arial" w:eastAsia="Times New Roman" w:hAnsi="Arial" w:cs="Arial"/>
          <w:color w:val="000000"/>
          <w:sz w:val="22"/>
          <w:szCs w:val="22"/>
        </w:rPr>
      </w:pPr>
      <w:r>
        <w:rPr>
          <w:rFonts w:ascii="Arial" w:eastAsia="Times New Roman" w:hAnsi="Arial" w:cs="Arial"/>
          <w:color w:val="000000"/>
          <w:sz w:val="22"/>
          <w:szCs w:val="22"/>
        </w:rPr>
        <w:t>Eine Erwerbstätigkeit trägt maßgeblich zur gesellschaftlichen Eingliederung bei. Ziel ist die berufliche Qualifizierung sowie die ausbildungsadäquate Beschäftigung zu fördern und den Anteil von erwerbstätigen Personen mit Migrationsbiographie zu steigern.</w:t>
      </w:r>
    </w:p>
    <w:p>
      <w:pPr>
        <w:pStyle w:val="Listenabsatz"/>
        <w:shd w:val="clear" w:color="auto" w:fill="FFFFFF"/>
        <w:ind w:left="360"/>
        <w:jc w:val="both"/>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p>
    <w:p>
      <w:pPr>
        <w:pStyle w:val="Listenabsatz"/>
        <w:shd w:val="clear" w:color="auto" w:fill="FFFFFF"/>
        <w:ind w:left="1418" w:hanging="1058"/>
        <w:jc w:val="both"/>
        <w:rPr>
          <w:rFonts w:ascii="Arial" w:eastAsia="Times New Roman" w:hAnsi="Arial" w:cs="Arial"/>
          <w:i/>
          <w:color w:val="000000"/>
          <w:sz w:val="22"/>
          <w:szCs w:val="22"/>
        </w:rPr>
      </w:pPr>
      <w:r>
        <w:rPr>
          <w:rFonts w:ascii="Arial" w:eastAsia="Times New Roman" w:hAnsi="Arial" w:cs="Arial"/>
          <w:color w:val="000000"/>
          <w:sz w:val="22"/>
          <w:szCs w:val="22"/>
        </w:rPr>
        <w:tab/>
      </w:r>
      <w:r>
        <w:rPr>
          <w:rFonts w:ascii="Arial" w:eastAsia="Times New Roman" w:hAnsi="Arial" w:cs="Arial"/>
          <w:b/>
          <w:i/>
          <w:color w:val="000000"/>
          <w:sz w:val="22"/>
          <w:szCs w:val="22"/>
        </w:rPr>
        <w:t>Hinweis:</w:t>
      </w:r>
      <w:r>
        <w:rPr>
          <w:rFonts w:ascii="Arial" w:eastAsia="Times New Roman" w:hAnsi="Arial" w:cs="Arial"/>
          <w:i/>
          <w:color w:val="000000"/>
          <w:sz w:val="22"/>
          <w:szCs w:val="22"/>
        </w:rPr>
        <w:t xml:space="preserve"> Die Projektvorhaben müssen bestehende Maßnahmen zur reinen Arbeitsvermittlung ergänzen bzw. sich von diesen abgrenzen.</w:t>
      </w:r>
    </w:p>
    <w:p>
      <w:pPr>
        <w:pStyle w:val="Listenabsatz"/>
        <w:shd w:val="clear" w:color="auto" w:fill="FFFFFF"/>
        <w:ind w:left="360"/>
        <w:jc w:val="both"/>
        <w:rPr>
          <w:rFonts w:ascii="Arial" w:eastAsia="Times New Roman" w:hAnsi="Arial" w:cs="Arial"/>
          <w:color w:val="000000"/>
          <w:sz w:val="22"/>
          <w:szCs w:val="22"/>
        </w:rPr>
      </w:pPr>
    </w:p>
    <w:p>
      <w:pPr>
        <w:pStyle w:val="Listenabsatz"/>
        <w:shd w:val="clear" w:color="auto" w:fill="FFFFFF"/>
        <w:ind w:left="1418"/>
        <w:jc w:val="both"/>
        <w:rPr>
          <w:rFonts w:ascii="Arial" w:eastAsia="Times New Roman" w:hAnsi="Arial" w:cs="Arial"/>
          <w:i/>
          <w:color w:val="000000"/>
          <w:sz w:val="22"/>
          <w:szCs w:val="22"/>
        </w:rPr>
      </w:pPr>
      <w:r>
        <w:rPr>
          <w:rFonts w:ascii="Arial" w:eastAsia="Times New Roman" w:hAnsi="Arial" w:cs="Arial"/>
          <w:b/>
          <w:i/>
          <w:color w:val="000000"/>
          <w:sz w:val="22"/>
          <w:szCs w:val="22"/>
        </w:rPr>
        <w:t>Beispiele:</w:t>
      </w:r>
      <w:r>
        <w:rPr>
          <w:rFonts w:ascii="Arial" w:eastAsia="Times New Roman" w:hAnsi="Arial" w:cs="Arial"/>
          <w:i/>
          <w:color w:val="000000"/>
          <w:sz w:val="22"/>
          <w:szCs w:val="22"/>
        </w:rPr>
        <w:t xml:space="preserve"> Vorqualifizierungs- und Berufsausbildungsmaßnahmen von diversen Organisationen oder Vereinen, die entsprechend der Kapazitäten des Arbeitsmarktes Migrantinnen und Migranten bei der Vorbereitung einer Erwerbstätigkeit unterstützen. </w:t>
      </w:r>
    </w:p>
    <w:p>
      <w:pPr>
        <w:pStyle w:val="StandardWeb"/>
        <w:ind w:left="1224"/>
        <w:jc w:val="both"/>
        <w:rPr>
          <w:rFonts w:ascii="Arial" w:hAnsi="Arial" w:cs="Arial"/>
          <w:color w:val="000000"/>
          <w:sz w:val="22"/>
          <w:szCs w:val="22"/>
        </w:rPr>
      </w:pPr>
    </w:p>
    <w:p>
      <w:pPr>
        <w:pStyle w:val="StandardWeb"/>
        <w:numPr>
          <w:ilvl w:val="2"/>
          <w:numId w:val="3"/>
        </w:numPr>
        <w:jc w:val="both"/>
        <w:outlineLvl w:val="2"/>
        <w:rPr>
          <w:rFonts w:ascii="Arial" w:hAnsi="Arial" w:cs="Arial"/>
          <w:color w:val="000000"/>
          <w:sz w:val="22"/>
          <w:szCs w:val="22"/>
          <w:u w:val="single"/>
        </w:rPr>
      </w:pPr>
      <w:bookmarkStart w:id="4" w:name="_Toc74746417"/>
      <w:r>
        <w:rPr>
          <w:rFonts w:ascii="Arial" w:hAnsi="Arial" w:cs="Arial"/>
          <w:color w:val="000000"/>
          <w:sz w:val="22"/>
          <w:szCs w:val="22"/>
          <w:u w:val="single"/>
        </w:rPr>
        <w:t>Rechtstaat und Werte</w:t>
      </w:r>
      <w:bookmarkEnd w:id="4"/>
    </w:p>
    <w:p>
      <w:pPr>
        <w:pStyle w:val="Listenabsatz"/>
        <w:ind w:left="1418"/>
        <w:jc w:val="both"/>
        <w:rPr>
          <w:rFonts w:ascii="Arial" w:eastAsia="Times New Roman" w:hAnsi="Arial" w:cs="Arial"/>
          <w:color w:val="000000"/>
          <w:sz w:val="22"/>
          <w:szCs w:val="22"/>
        </w:rPr>
      </w:pPr>
      <w:r>
        <w:rPr>
          <w:rFonts w:ascii="Arial" w:eastAsia="Times New Roman" w:hAnsi="Arial" w:cs="Arial"/>
          <w:color w:val="000000"/>
          <w:sz w:val="22"/>
          <w:szCs w:val="22"/>
        </w:rPr>
        <w:t>Die Identifizierung und Anerkennung der Werte und Normen des österreichischen Rechtsstaats sind Voraussetzung für einen erfolgreichen Integrationsprozess.</w:t>
      </w:r>
    </w:p>
    <w:p>
      <w:pPr>
        <w:pStyle w:val="Listenabsatz"/>
        <w:ind w:left="360"/>
        <w:jc w:val="both"/>
        <w:rPr>
          <w:rFonts w:ascii="Arial" w:eastAsia="Times New Roman" w:hAnsi="Arial" w:cs="Arial"/>
          <w:color w:val="000000"/>
          <w:sz w:val="22"/>
          <w:szCs w:val="22"/>
        </w:rPr>
      </w:pPr>
    </w:p>
    <w:p>
      <w:pPr>
        <w:pStyle w:val="Listenabsatz"/>
        <w:ind w:left="1418"/>
        <w:jc w:val="both"/>
        <w:rPr>
          <w:rFonts w:ascii="Arial" w:eastAsia="Times New Roman" w:hAnsi="Arial" w:cs="Arial"/>
          <w:i/>
          <w:color w:val="000000"/>
          <w:sz w:val="22"/>
          <w:szCs w:val="22"/>
        </w:rPr>
      </w:pPr>
      <w:r>
        <w:rPr>
          <w:rFonts w:ascii="Arial" w:eastAsia="Times New Roman" w:hAnsi="Arial" w:cs="Arial"/>
          <w:b/>
          <w:i/>
          <w:color w:val="000000"/>
          <w:sz w:val="22"/>
          <w:szCs w:val="22"/>
        </w:rPr>
        <w:lastRenderedPageBreak/>
        <w:t>Hinweis:</w:t>
      </w:r>
      <w:r>
        <w:rPr>
          <w:rFonts w:ascii="Arial" w:eastAsia="Times New Roman" w:hAnsi="Arial" w:cs="Arial"/>
          <w:i/>
          <w:color w:val="000000"/>
          <w:sz w:val="22"/>
          <w:szCs w:val="22"/>
        </w:rPr>
        <w:t xml:space="preserve"> Werte- und Orientierungskurse gemäß § 5 Integrationsgesetz bzw. Integrationsjahrgesetz, die sich an Asylberechtigte und subsidiär Schutzberechtigte ab dem vollendeten 15. Lebensjahr und mit Statuszuerkennung ab dem 31.12.2014 richten, werden nicht gefördert, da diese Kurse bereits auf Basis gesetzlicher Bestimmungen angeboten werden.  </w:t>
      </w:r>
    </w:p>
    <w:p>
      <w:pPr>
        <w:pStyle w:val="Listenabsatz"/>
        <w:ind w:left="360"/>
        <w:jc w:val="both"/>
        <w:rPr>
          <w:rFonts w:ascii="Arial" w:eastAsia="Times New Roman" w:hAnsi="Arial" w:cs="Arial"/>
          <w:color w:val="000000"/>
          <w:sz w:val="22"/>
          <w:szCs w:val="22"/>
        </w:rPr>
      </w:pPr>
    </w:p>
    <w:p>
      <w:pPr>
        <w:pStyle w:val="StandardWeb"/>
        <w:ind w:left="1418"/>
        <w:jc w:val="both"/>
        <w:rPr>
          <w:rFonts w:ascii="Arial" w:hAnsi="Arial" w:cs="Arial"/>
          <w:color w:val="000000"/>
          <w:sz w:val="22"/>
          <w:szCs w:val="22"/>
        </w:rPr>
      </w:pPr>
      <w:r>
        <w:rPr>
          <w:rFonts w:ascii="Arial" w:eastAsia="Times New Roman" w:hAnsi="Arial" w:cs="Arial"/>
          <w:b/>
          <w:i/>
          <w:color w:val="000000"/>
          <w:sz w:val="22"/>
          <w:szCs w:val="22"/>
        </w:rPr>
        <w:t>Beispiel:</w:t>
      </w:r>
      <w:r>
        <w:rPr>
          <w:rFonts w:ascii="Arial" w:eastAsia="Times New Roman" w:hAnsi="Arial" w:cs="Arial"/>
          <w:i/>
          <w:color w:val="000000"/>
          <w:sz w:val="22"/>
          <w:szCs w:val="22"/>
        </w:rPr>
        <w:t xml:space="preserve"> Vorhaben, welche das erworbene Wissen der Teilnehmerinnen und Teilnehmern in den ÖIF-Workshops mit praxisnahen Maßnahmen das Zusammenleben in der Gemeinde im Sinne der Nachhaltigkeit stärken. </w:t>
      </w:r>
    </w:p>
    <w:p>
      <w:pPr>
        <w:pStyle w:val="StandardWeb"/>
        <w:ind w:left="1224"/>
        <w:jc w:val="both"/>
        <w:rPr>
          <w:rFonts w:ascii="Arial" w:hAnsi="Arial" w:cs="Arial"/>
          <w:color w:val="000000"/>
          <w:sz w:val="22"/>
          <w:szCs w:val="22"/>
          <w:u w:val="single"/>
        </w:rPr>
      </w:pPr>
    </w:p>
    <w:p>
      <w:pPr>
        <w:pStyle w:val="StandardWeb"/>
        <w:numPr>
          <w:ilvl w:val="2"/>
          <w:numId w:val="3"/>
        </w:numPr>
        <w:jc w:val="both"/>
        <w:outlineLvl w:val="2"/>
        <w:rPr>
          <w:rFonts w:ascii="Arial" w:hAnsi="Arial" w:cs="Arial"/>
          <w:color w:val="000000"/>
          <w:sz w:val="22"/>
          <w:szCs w:val="22"/>
          <w:u w:val="single"/>
        </w:rPr>
      </w:pPr>
      <w:bookmarkStart w:id="5" w:name="_Toc74746418"/>
      <w:r>
        <w:rPr>
          <w:rFonts w:ascii="Arial" w:hAnsi="Arial" w:cs="Arial"/>
          <w:color w:val="000000"/>
          <w:sz w:val="22"/>
          <w:szCs w:val="22"/>
          <w:u w:val="single"/>
        </w:rPr>
        <w:t>Gesundheit und Soziales</w:t>
      </w:r>
      <w:bookmarkEnd w:id="5"/>
    </w:p>
    <w:p>
      <w:pPr>
        <w:pStyle w:val="Listenabsatz"/>
        <w:ind w:left="1418"/>
        <w:jc w:val="both"/>
        <w:rPr>
          <w:rFonts w:ascii="Arial" w:eastAsia="Times New Roman" w:hAnsi="Arial" w:cs="Arial"/>
          <w:color w:val="000000"/>
          <w:sz w:val="22"/>
          <w:szCs w:val="22"/>
        </w:rPr>
      </w:pPr>
      <w:r>
        <w:rPr>
          <w:rFonts w:ascii="Arial" w:eastAsia="Times New Roman" w:hAnsi="Arial" w:cs="Arial"/>
          <w:color w:val="000000"/>
          <w:sz w:val="22"/>
          <w:szCs w:val="22"/>
        </w:rPr>
        <w:t>Erhöhung des Gesundheitsbewusstseins von Menschen mit Migrationsbiographie (Gesundheitsförderung, Präventionsmaßnahmen und Orientierung im System etc.) Sensibilisierung in der Gesundheitsbranche und Eingliederung der Zielgruppen im Gesundheitssystem.</w:t>
      </w:r>
    </w:p>
    <w:p>
      <w:pPr>
        <w:pStyle w:val="Listenabsatz"/>
        <w:ind w:left="360"/>
        <w:jc w:val="both"/>
        <w:rPr>
          <w:rFonts w:ascii="Arial" w:eastAsia="Times New Roman" w:hAnsi="Arial" w:cs="Arial"/>
          <w:color w:val="000000"/>
          <w:sz w:val="22"/>
          <w:szCs w:val="22"/>
        </w:rPr>
      </w:pPr>
    </w:p>
    <w:p>
      <w:pPr>
        <w:pStyle w:val="Listenabsatz"/>
        <w:ind w:left="1418"/>
        <w:jc w:val="both"/>
        <w:rPr>
          <w:rFonts w:ascii="Arial" w:eastAsia="Times New Roman" w:hAnsi="Arial" w:cs="Arial"/>
          <w:color w:val="000000"/>
          <w:sz w:val="22"/>
          <w:szCs w:val="22"/>
        </w:rPr>
      </w:pPr>
      <w:r>
        <w:rPr>
          <w:rFonts w:ascii="Arial" w:eastAsia="Times New Roman" w:hAnsi="Arial" w:cs="Arial"/>
          <w:b/>
          <w:i/>
          <w:color w:val="000000"/>
          <w:sz w:val="22"/>
          <w:szCs w:val="22"/>
        </w:rPr>
        <w:t xml:space="preserve">Beispiele: </w:t>
      </w:r>
      <w:r>
        <w:rPr>
          <w:rFonts w:ascii="Arial" w:eastAsia="Times New Roman" w:hAnsi="Arial" w:cs="Arial"/>
          <w:i/>
          <w:color w:val="000000"/>
          <w:sz w:val="22"/>
          <w:szCs w:val="22"/>
        </w:rPr>
        <w:t>Unterstützung von</w:t>
      </w:r>
      <w:r>
        <w:rPr>
          <w:rFonts w:ascii="Arial" w:eastAsia="Times New Roman" w:hAnsi="Arial" w:cs="Arial"/>
          <w:b/>
          <w:i/>
          <w:color w:val="000000"/>
          <w:sz w:val="22"/>
          <w:szCs w:val="22"/>
        </w:rPr>
        <w:t xml:space="preserve"> </w:t>
      </w:r>
      <w:r>
        <w:rPr>
          <w:rFonts w:ascii="Arial" w:eastAsia="Times New Roman" w:hAnsi="Arial" w:cs="Arial"/>
          <w:i/>
          <w:color w:val="000000"/>
          <w:sz w:val="22"/>
          <w:szCs w:val="22"/>
        </w:rPr>
        <w:t>Vorhaben, welche die Gesundheitskompetenz von Menschen mit Migrationsbiografie erhöhen und die den beruflichen Zugang zum Gesundheits- und Pflegebereich für Migrantinnen und Migranten erleichtern</w:t>
      </w:r>
      <w:r>
        <w:rPr>
          <w:rFonts w:ascii="Arial" w:eastAsia="Times New Roman" w:hAnsi="Arial" w:cs="Arial"/>
          <w:color w:val="000000"/>
          <w:sz w:val="22"/>
          <w:szCs w:val="22"/>
        </w:rPr>
        <w:t>.</w:t>
      </w:r>
    </w:p>
    <w:p>
      <w:pPr>
        <w:pStyle w:val="StandardWeb"/>
        <w:ind w:left="792"/>
        <w:jc w:val="both"/>
        <w:rPr>
          <w:rFonts w:ascii="Arial" w:hAnsi="Arial" w:cs="Arial"/>
          <w:color w:val="000000"/>
          <w:sz w:val="22"/>
          <w:szCs w:val="22"/>
        </w:rPr>
      </w:pPr>
    </w:p>
    <w:p>
      <w:pPr>
        <w:pStyle w:val="StandardWeb"/>
        <w:numPr>
          <w:ilvl w:val="2"/>
          <w:numId w:val="3"/>
        </w:numPr>
        <w:jc w:val="both"/>
        <w:outlineLvl w:val="2"/>
        <w:rPr>
          <w:rFonts w:ascii="Arial" w:hAnsi="Arial" w:cs="Arial"/>
          <w:color w:val="000000"/>
          <w:sz w:val="22"/>
          <w:szCs w:val="22"/>
          <w:u w:val="single"/>
        </w:rPr>
      </w:pPr>
      <w:bookmarkStart w:id="6" w:name="_Toc74746419"/>
      <w:r>
        <w:rPr>
          <w:rFonts w:ascii="Arial" w:hAnsi="Arial" w:cs="Arial"/>
          <w:color w:val="000000"/>
          <w:sz w:val="22"/>
          <w:szCs w:val="22"/>
          <w:u w:val="single"/>
        </w:rPr>
        <w:t>Interkultureller Dialog + Gemeinden</w:t>
      </w:r>
      <w:bookmarkEnd w:id="6"/>
    </w:p>
    <w:p>
      <w:pPr>
        <w:pStyle w:val="StandardWeb"/>
        <w:ind w:left="1418" w:hanging="1058"/>
        <w:jc w:val="both"/>
        <w:rPr>
          <w:rFonts w:ascii="Arial" w:hAnsi="Arial" w:cs="Arial"/>
          <w:color w:val="000000"/>
          <w:sz w:val="22"/>
          <w:szCs w:val="22"/>
        </w:rPr>
      </w:pPr>
      <w:r>
        <w:rPr>
          <w:rFonts w:ascii="Arial" w:hAnsi="Arial" w:cs="Arial"/>
          <w:color w:val="000000"/>
          <w:sz w:val="22"/>
          <w:szCs w:val="22"/>
        </w:rPr>
        <w:tab/>
        <w:t xml:space="preserve">Integration ist ein wechselseitiger Prozess. Der Dialog und Austausch zwischen Menschen mit und ohne Migrationsbiografie auf Augenhöhe, geprägt von gegenseitigem Respekt und von Wertschätzung, ist eine wichtige Voraussetzung für einen erfolgreichen Integrationsprozess. </w:t>
      </w:r>
    </w:p>
    <w:p>
      <w:pPr>
        <w:pStyle w:val="StandardWeb"/>
        <w:ind w:left="360"/>
        <w:jc w:val="both"/>
        <w:rPr>
          <w:rFonts w:ascii="Arial" w:hAnsi="Arial" w:cs="Arial"/>
          <w:color w:val="000000"/>
          <w:sz w:val="22"/>
          <w:szCs w:val="22"/>
        </w:rPr>
      </w:pPr>
    </w:p>
    <w:p>
      <w:pPr>
        <w:pStyle w:val="StandardWeb"/>
        <w:ind w:left="1418"/>
        <w:jc w:val="both"/>
        <w:rPr>
          <w:rFonts w:ascii="Arial" w:hAnsi="Arial" w:cs="Arial"/>
          <w:i/>
          <w:color w:val="000000"/>
          <w:sz w:val="22"/>
          <w:szCs w:val="22"/>
        </w:rPr>
      </w:pPr>
      <w:r>
        <w:rPr>
          <w:rFonts w:ascii="Arial" w:hAnsi="Arial" w:cs="Arial"/>
          <w:b/>
          <w:i/>
          <w:color w:val="000000"/>
          <w:sz w:val="22"/>
          <w:szCs w:val="22"/>
        </w:rPr>
        <w:t>Beispiele:</w:t>
      </w:r>
      <w:r>
        <w:rPr>
          <w:rFonts w:ascii="Arial" w:hAnsi="Arial" w:cs="Arial"/>
          <w:i/>
          <w:color w:val="000000"/>
          <w:sz w:val="22"/>
          <w:szCs w:val="22"/>
        </w:rPr>
        <w:t xml:space="preserve"> Vorhaben, welche den interkulturellen und den interreligiösen Dialog sowie die Teilhabe von Menschen mit Migrationsbiografie an der österreichischen Gesellschaft ermöglichen und das Zugehörigkeitsgefühl stärken, wie z.B. durch Einbindung in die Freiwilligenarbeit und in die Vereinstätigkeit.</w:t>
      </w:r>
    </w:p>
    <w:p>
      <w:pPr>
        <w:pStyle w:val="StandardWeb"/>
        <w:ind w:left="1418" w:hanging="1058"/>
        <w:jc w:val="both"/>
        <w:rPr>
          <w:rFonts w:ascii="Arial" w:hAnsi="Arial" w:cs="Arial"/>
          <w:color w:val="000000"/>
          <w:sz w:val="22"/>
          <w:szCs w:val="22"/>
        </w:rPr>
      </w:pPr>
    </w:p>
    <w:p>
      <w:pPr>
        <w:pStyle w:val="StandardWeb"/>
        <w:numPr>
          <w:ilvl w:val="2"/>
          <w:numId w:val="3"/>
        </w:numPr>
        <w:jc w:val="both"/>
        <w:outlineLvl w:val="2"/>
        <w:rPr>
          <w:rFonts w:ascii="Arial" w:hAnsi="Arial" w:cs="Arial"/>
          <w:color w:val="000000"/>
          <w:sz w:val="22"/>
          <w:szCs w:val="22"/>
          <w:u w:val="single"/>
        </w:rPr>
      </w:pPr>
      <w:bookmarkStart w:id="7" w:name="_Toc74746420"/>
      <w:r>
        <w:rPr>
          <w:rFonts w:ascii="Arial" w:hAnsi="Arial" w:cs="Arial"/>
          <w:color w:val="000000"/>
          <w:sz w:val="22"/>
          <w:szCs w:val="22"/>
          <w:u w:val="single"/>
        </w:rPr>
        <w:t>Sport und Freizeit</w:t>
      </w:r>
      <w:bookmarkEnd w:id="7"/>
    </w:p>
    <w:p>
      <w:pPr>
        <w:pStyle w:val="StandardWeb"/>
        <w:ind w:left="1418"/>
        <w:jc w:val="both"/>
        <w:rPr>
          <w:rFonts w:ascii="Arial" w:hAnsi="Arial" w:cs="Arial"/>
          <w:color w:val="000000"/>
          <w:sz w:val="22"/>
          <w:szCs w:val="22"/>
        </w:rPr>
      </w:pPr>
      <w:r>
        <w:rPr>
          <w:rFonts w:ascii="Arial" w:hAnsi="Arial" w:cs="Arial"/>
          <w:color w:val="000000"/>
          <w:sz w:val="22"/>
          <w:szCs w:val="22"/>
        </w:rPr>
        <w:t>Aktivitäten auf niederschwelliger Weise unterstützen, welche die Gelegenheit der Begegnung und des Austausches zwischen Menschen mit und ohne Migrationsbiographie ermöglichen.</w:t>
      </w:r>
    </w:p>
    <w:p>
      <w:pPr>
        <w:pStyle w:val="StandardWeb"/>
        <w:ind w:left="1224"/>
        <w:jc w:val="both"/>
        <w:rPr>
          <w:rFonts w:ascii="Arial" w:hAnsi="Arial" w:cs="Arial"/>
          <w:color w:val="000000"/>
          <w:sz w:val="22"/>
          <w:szCs w:val="22"/>
        </w:rPr>
      </w:pPr>
    </w:p>
    <w:p>
      <w:pPr>
        <w:pStyle w:val="StandardWeb"/>
        <w:ind w:left="1418"/>
        <w:jc w:val="both"/>
        <w:rPr>
          <w:rFonts w:ascii="Arial" w:hAnsi="Arial" w:cs="Arial"/>
          <w:i/>
          <w:color w:val="000000"/>
          <w:sz w:val="22"/>
          <w:szCs w:val="22"/>
        </w:rPr>
      </w:pPr>
      <w:r>
        <w:rPr>
          <w:rFonts w:ascii="Arial" w:hAnsi="Arial" w:cs="Arial"/>
          <w:b/>
          <w:i/>
          <w:color w:val="000000"/>
          <w:sz w:val="22"/>
          <w:szCs w:val="22"/>
        </w:rPr>
        <w:t>Beispiele:</w:t>
      </w:r>
      <w:r>
        <w:rPr>
          <w:rFonts w:ascii="Arial" w:hAnsi="Arial" w:cs="Arial"/>
          <w:i/>
          <w:color w:val="000000"/>
          <w:sz w:val="22"/>
          <w:szCs w:val="22"/>
        </w:rPr>
        <w:t xml:space="preserve"> Sport- und Freizeitprojekte unterstützen, welche die Identität und das Zusammengehörigkeitsgefühl für ein gemeinsames Wir </w:t>
      </w:r>
      <w:r>
        <w:rPr>
          <w:rFonts w:ascii="Arial" w:hAnsi="Arial" w:cs="Arial"/>
          <w:i/>
          <w:strike/>
          <w:color w:val="000000"/>
          <w:sz w:val="22"/>
          <w:szCs w:val="22"/>
        </w:rPr>
        <w:t>etc</w:t>
      </w:r>
      <w:r>
        <w:rPr>
          <w:rFonts w:ascii="Arial" w:hAnsi="Arial" w:cs="Arial"/>
          <w:i/>
          <w:color w:val="000000"/>
          <w:sz w:val="22"/>
          <w:szCs w:val="22"/>
        </w:rPr>
        <w:t>. fördern.</w:t>
      </w:r>
    </w:p>
    <w:p>
      <w:pPr>
        <w:pStyle w:val="StandardWeb"/>
        <w:ind w:left="1418"/>
        <w:jc w:val="both"/>
        <w:rPr>
          <w:rFonts w:ascii="Arial" w:hAnsi="Arial" w:cs="Arial"/>
          <w:b/>
          <w:i/>
          <w:color w:val="000000"/>
          <w:sz w:val="22"/>
          <w:szCs w:val="22"/>
        </w:rPr>
      </w:pPr>
    </w:p>
    <w:p>
      <w:pPr>
        <w:pStyle w:val="StandardWeb"/>
        <w:ind w:left="1418"/>
        <w:jc w:val="both"/>
        <w:rPr>
          <w:rFonts w:ascii="Arial" w:hAnsi="Arial" w:cs="Arial"/>
          <w:b/>
          <w:i/>
          <w:color w:val="000000"/>
          <w:sz w:val="22"/>
          <w:szCs w:val="22"/>
        </w:rPr>
      </w:pPr>
      <w:r>
        <w:rPr>
          <w:rFonts w:ascii="Arial" w:hAnsi="Arial" w:cs="Arial"/>
          <w:b/>
          <w:i/>
          <w:color w:val="000000"/>
          <w:sz w:val="22"/>
          <w:szCs w:val="22"/>
        </w:rPr>
        <w:t xml:space="preserve">Hinweis: </w:t>
      </w:r>
    </w:p>
    <w:p>
      <w:pPr>
        <w:pStyle w:val="StandardWeb"/>
        <w:ind w:left="1418"/>
        <w:jc w:val="both"/>
        <w:rPr>
          <w:rFonts w:ascii="Arial" w:hAnsi="Arial" w:cs="Arial"/>
          <w:color w:val="000000"/>
          <w:sz w:val="22"/>
          <w:szCs w:val="22"/>
        </w:rPr>
      </w:pPr>
      <w:r>
        <w:rPr>
          <w:rFonts w:ascii="Arial" w:hAnsi="Arial" w:cs="Arial"/>
          <w:color w:val="000000"/>
          <w:sz w:val="22"/>
          <w:szCs w:val="22"/>
        </w:rPr>
        <w:t>Nachdem die Integrationsförderung im</w:t>
      </w:r>
      <w:r>
        <w:rPr>
          <w:rFonts w:ascii="Arial" w:hAnsi="Arial" w:cs="Arial"/>
          <w:b/>
          <w:i/>
          <w:color w:val="000000"/>
          <w:sz w:val="22"/>
          <w:szCs w:val="22"/>
        </w:rPr>
        <w:t xml:space="preserve"> </w:t>
      </w:r>
      <w:r>
        <w:rPr>
          <w:rFonts w:ascii="Arial" w:hAnsi="Arial" w:cs="Arial"/>
          <w:color w:val="000000"/>
          <w:sz w:val="22"/>
          <w:szCs w:val="22"/>
        </w:rPr>
        <w:t xml:space="preserve">Bundessportförderungsgesetz verankert wurde und es so möglich geworden ist, dass für Integrationsarbeit in Vereinen direkt durch die Bundes-Sport GmbH Förderungen vergeben werden, fördert das Bundeskanzleramt (zuständig für Integrationsangelegenheiten) keine reinen Sportprojekte. In der Sportstrategie und in den Sportförderrichtlinien des Landes NÖ ist </w:t>
      </w:r>
      <w:r>
        <w:rPr>
          <w:rFonts w:ascii="Arial" w:hAnsi="Arial" w:cs="Arial"/>
          <w:color w:val="000000"/>
          <w:sz w:val="22"/>
          <w:szCs w:val="22"/>
          <w:u w:val="single"/>
        </w:rPr>
        <w:t>keine Förderaktion</w:t>
      </w:r>
      <w:r>
        <w:rPr>
          <w:rFonts w:ascii="Arial" w:hAnsi="Arial" w:cs="Arial"/>
          <w:color w:val="000000"/>
          <w:sz w:val="22"/>
          <w:szCs w:val="22"/>
        </w:rPr>
        <w:t xml:space="preserve"> für Integrationsprojekte für Menschen mit Migrationsbiografie vorgesehen.</w:t>
      </w:r>
    </w:p>
    <w:p>
      <w:pPr>
        <w:pStyle w:val="StandardWeb"/>
        <w:ind w:left="1224"/>
        <w:jc w:val="both"/>
        <w:rPr>
          <w:rFonts w:ascii="Arial" w:hAnsi="Arial" w:cs="Arial"/>
          <w:color w:val="000000"/>
          <w:sz w:val="22"/>
          <w:szCs w:val="22"/>
        </w:rPr>
      </w:pPr>
    </w:p>
    <w:p>
      <w:pPr>
        <w:pStyle w:val="StandardWeb"/>
        <w:numPr>
          <w:ilvl w:val="2"/>
          <w:numId w:val="3"/>
        </w:numPr>
        <w:jc w:val="both"/>
        <w:outlineLvl w:val="2"/>
        <w:rPr>
          <w:rFonts w:ascii="Arial" w:hAnsi="Arial" w:cs="Arial"/>
          <w:color w:val="000000"/>
          <w:sz w:val="22"/>
          <w:szCs w:val="22"/>
          <w:u w:val="single"/>
        </w:rPr>
      </w:pPr>
      <w:bookmarkStart w:id="8" w:name="_Toc74746421"/>
      <w:r>
        <w:rPr>
          <w:rFonts w:ascii="Arial" w:hAnsi="Arial" w:cs="Arial"/>
          <w:color w:val="000000"/>
          <w:sz w:val="22"/>
          <w:szCs w:val="22"/>
          <w:u w:val="single"/>
        </w:rPr>
        <w:t>Wohnen und die regionale Dimension der Integration</w:t>
      </w:r>
      <w:bookmarkEnd w:id="8"/>
    </w:p>
    <w:p>
      <w:pPr>
        <w:pStyle w:val="Listenabsatz"/>
        <w:ind w:left="360"/>
        <w:jc w:val="both"/>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t xml:space="preserve">Integration beginnt direkt vor Ort, in der Nachbarschaft, in den Gemeinden und </w:t>
      </w:r>
      <w:r>
        <w:rPr>
          <w:rFonts w:ascii="Arial" w:eastAsia="Times New Roman" w:hAnsi="Arial" w:cs="Arial"/>
          <w:color w:val="000000"/>
          <w:sz w:val="22"/>
          <w:szCs w:val="22"/>
        </w:rPr>
        <w:tab/>
      </w:r>
      <w:r>
        <w:rPr>
          <w:rFonts w:ascii="Arial" w:eastAsia="Times New Roman" w:hAnsi="Arial" w:cs="Arial"/>
          <w:color w:val="000000"/>
          <w:sz w:val="22"/>
          <w:szCs w:val="22"/>
        </w:rPr>
        <w:tab/>
        <w:t xml:space="preserve">in den Städten. Vorhaben, welche den Dialog, das Zusammenleben und die </w:t>
      </w:r>
      <w:r>
        <w:rPr>
          <w:rFonts w:ascii="Arial" w:eastAsia="Times New Roman" w:hAnsi="Arial" w:cs="Arial"/>
          <w:color w:val="000000"/>
          <w:sz w:val="22"/>
          <w:szCs w:val="22"/>
        </w:rPr>
        <w:tab/>
      </w:r>
      <w:r>
        <w:rPr>
          <w:rFonts w:ascii="Arial" w:eastAsia="Times New Roman" w:hAnsi="Arial" w:cs="Arial"/>
          <w:color w:val="000000"/>
          <w:sz w:val="22"/>
          <w:szCs w:val="22"/>
        </w:rPr>
        <w:tab/>
        <w:t>Verminderung von Konflikten zwischen Menschen mit und ohne Migrationsbio-</w:t>
      </w:r>
      <w:r>
        <w:rPr>
          <w:rFonts w:ascii="Arial" w:eastAsia="Times New Roman" w:hAnsi="Arial" w:cs="Arial"/>
          <w:color w:val="000000"/>
          <w:sz w:val="22"/>
          <w:szCs w:val="22"/>
        </w:rPr>
        <w:tab/>
      </w:r>
      <w:r>
        <w:rPr>
          <w:rFonts w:ascii="Arial" w:eastAsia="Times New Roman" w:hAnsi="Arial" w:cs="Arial"/>
          <w:color w:val="000000"/>
          <w:sz w:val="22"/>
          <w:szCs w:val="22"/>
        </w:rPr>
        <w:tab/>
      </w:r>
      <w:proofErr w:type="spellStart"/>
      <w:r>
        <w:rPr>
          <w:rFonts w:ascii="Arial" w:eastAsia="Times New Roman" w:hAnsi="Arial" w:cs="Arial"/>
          <w:color w:val="000000"/>
          <w:sz w:val="22"/>
          <w:szCs w:val="22"/>
        </w:rPr>
        <w:t>graphie</w:t>
      </w:r>
      <w:proofErr w:type="spellEnd"/>
      <w:r>
        <w:rPr>
          <w:rFonts w:ascii="Arial" w:eastAsia="Times New Roman" w:hAnsi="Arial" w:cs="Arial"/>
          <w:color w:val="000000"/>
          <w:sz w:val="22"/>
          <w:szCs w:val="22"/>
        </w:rPr>
        <w:t xml:space="preserve"> fördern, sollen unterstützt werden.</w:t>
      </w:r>
    </w:p>
    <w:p>
      <w:pPr>
        <w:pStyle w:val="Listenabsatz"/>
        <w:ind w:left="360"/>
        <w:jc w:val="both"/>
        <w:rPr>
          <w:rFonts w:ascii="Arial" w:eastAsia="Times New Roman" w:hAnsi="Arial" w:cs="Arial"/>
          <w:color w:val="000000"/>
          <w:sz w:val="22"/>
          <w:szCs w:val="22"/>
        </w:rPr>
      </w:pPr>
    </w:p>
    <w:p>
      <w:pPr>
        <w:pStyle w:val="Listenabsatz"/>
        <w:ind w:left="1416"/>
        <w:jc w:val="both"/>
        <w:rPr>
          <w:rFonts w:ascii="Arial" w:hAnsi="Arial" w:cs="Arial"/>
          <w:i/>
          <w:color w:val="000000"/>
          <w:sz w:val="22"/>
          <w:szCs w:val="22"/>
          <w:u w:val="single"/>
        </w:rPr>
      </w:pPr>
      <w:r>
        <w:rPr>
          <w:rFonts w:ascii="Arial" w:eastAsia="Times New Roman" w:hAnsi="Arial" w:cs="Arial"/>
          <w:b/>
          <w:i/>
          <w:color w:val="000000"/>
          <w:sz w:val="22"/>
          <w:szCs w:val="22"/>
        </w:rPr>
        <w:lastRenderedPageBreak/>
        <w:t>Beispiele:</w:t>
      </w:r>
      <w:r>
        <w:rPr>
          <w:rFonts w:ascii="Arial" w:eastAsia="Times New Roman" w:hAnsi="Arial" w:cs="Arial"/>
          <w:color w:val="000000"/>
          <w:sz w:val="22"/>
          <w:szCs w:val="22"/>
        </w:rPr>
        <w:t xml:space="preserve"> </w:t>
      </w:r>
      <w:r>
        <w:rPr>
          <w:rFonts w:ascii="Arial" w:eastAsia="Times New Roman" w:hAnsi="Arial" w:cs="Arial"/>
          <w:i/>
          <w:color w:val="000000"/>
          <w:sz w:val="22"/>
          <w:szCs w:val="22"/>
        </w:rPr>
        <w:t>Initiativen und Maßnahmen, welche die Integration und das Zusammenleben auf lokaler und kommunaler Ebene fördern. Projekte, die den Dialog im Wohnbereich und so in weiterer Folge zu einer Verminderung von Konflikten führen, sollen unterstützt werden.</w:t>
      </w:r>
    </w:p>
    <w:p>
      <w:pPr>
        <w:jc w:val="both"/>
      </w:pPr>
    </w:p>
    <w:p>
      <w:pPr>
        <w:pStyle w:val="StandardWeb"/>
        <w:numPr>
          <w:ilvl w:val="0"/>
          <w:numId w:val="3"/>
        </w:numPr>
        <w:jc w:val="both"/>
        <w:outlineLvl w:val="0"/>
        <w:rPr>
          <w:rFonts w:ascii="Arial" w:hAnsi="Arial" w:cs="Arial"/>
          <w:color w:val="000000"/>
          <w:sz w:val="22"/>
          <w:szCs w:val="22"/>
          <w:u w:val="single"/>
        </w:rPr>
      </w:pPr>
      <w:bookmarkStart w:id="9" w:name="_Toc71111933"/>
      <w:bookmarkStart w:id="10" w:name="_Toc74746422"/>
      <w:r>
        <w:rPr>
          <w:rFonts w:ascii="Arial" w:hAnsi="Arial" w:cs="Arial"/>
          <w:color w:val="000000"/>
          <w:sz w:val="22"/>
          <w:szCs w:val="22"/>
          <w:u w:val="single"/>
        </w:rPr>
        <w:t>Zielgruppe</w:t>
      </w:r>
      <w:bookmarkEnd w:id="9"/>
      <w:bookmarkEnd w:id="10"/>
    </w:p>
    <w:p>
      <w:pPr>
        <w:pStyle w:val="StandardWeb"/>
        <w:ind w:left="360"/>
        <w:jc w:val="both"/>
        <w:rPr>
          <w:rFonts w:ascii="Arial" w:hAnsi="Arial" w:cs="Arial"/>
          <w:color w:val="000000"/>
          <w:sz w:val="22"/>
          <w:szCs w:val="22"/>
        </w:rPr>
      </w:pPr>
      <w:r>
        <w:rPr>
          <w:rFonts w:ascii="Arial" w:hAnsi="Arial" w:cs="Arial"/>
          <w:color w:val="000000"/>
          <w:sz w:val="22"/>
          <w:szCs w:val="22"/>
        </w:rPr>
        <w:t xml:space="preserve">Drittstaatsangehörige, die rechtmäßig und mit längerfristiger Aufenthaltsperspektive in Niederösterreich niedergelassen sind, Personen mit Flüchtlingsstatus, subsidiär Schutzberechtigte, </w:t>
      </w:r>
      <w:bookmarkStart w:id="11" w:name="_GoBack"/>
      <w:bookmarkEnd w:id="11"/>
      <w:r>
        <w:rPr>
          <w:rFonts w:ascii="Arial" w:hAnsi="Arial" w:cs="Arial"/>
          <w:color w:val="000000"/>
          <w:sz w:val="22"/>
          <w:szCs w:val="22"/>
        </w:rPr>
        <w:t xml:space="preserve">Vertriebene nach   § 62 </w:t>
      </w:r>
      <w:proofErr w:type="spellStart"/>
      <w:r>
        <w:rPr>
          <w:rFonts w:ascii="Arial" w:hAnsi="Arial" w:cs="Arial"/>
          <w:color w:val="000000"/>
          <w:sz w:val="22"/>
          <w:szCs w:val="22"/>
        </w:rPr>
        <w:t>AsylG</w:t>
      </w:r>
      <w:proofErr w:type="spellEnd"/>
      <w:r>
        <w:rPr>
          <w:rFonts w:ascii="Arial" w:hAnsi="Arial" w:cs="Arial"/>
          <w:color w:val="000000"/>
          <w:sz w:val="22"/>
          <w:szCs w:val="22"/>
        </w:rPr>
        <w:t xml:space="preserve"> 2005*, EU-Bürgerinnen und EU-Bürger, die sich dauerhaft in Österreich aufhalten, Österreicherinnen und Österreicher mit Migrationsbiographie, die dauerhaft in Österreich niedergelassen sind sowie die Mehrheitsbevölkerung als Aufnahmegesellschaft.</w:t>
      </w:r>
    </w:p>
    <w:p>
      <w:pPr>
        <w:jc w:val="both"/>
      </w:pPr>
    </w:p>
    <w:p>
      <w:pPr>
        <w:jc w:val="both"/>
        <w:rPr>
          <w:rFonts w:ascii="Arial" w:hAnsi="Arial" w:cs="Arial"/>
          <w:sz w:val="16"/>
          <w:szCs w:val="16"/>
        </w:rPr>
      </w:pPr>
      <w:r>
        <w:t>*</w:t>
      </w:r>
      <w:r>
        <w:rPr>
          <w:rFonts w:ascii="Arial" w:hAnsi="Arial" w:cs="Arial"/>
          <w:sz w:val="16"/>
          <w:szCs w:val="16"/>
        </w:rPr>
        <w:t>Personengruppe mit einem Aufenthaltsrecht gemäß der Verordnung der Bundesregierung über ein vorübergehendes Aufenthaltsrecht für aus der Ukraine Vertriebene (Vertriebenen-Verordnung – Vertriebenen VO) BGBl. II  92/2022</w:t>
      </w:r>
    </w:p>
    <w:sectPr>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27642"/>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lang w:val="de-DE"/>
          </w:rPr>
          <w:t>4</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04C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E59A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560DE"/>
    <w:multiLevelType w:val="hybridMultilevel"/>
    <w:tmpl w:val="6FAC80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DA37A14"/>
    <w:multiLevelType w:val="hybridMultilevel"/>
    <w:tmpl w:val="B9243C34"/>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71D67DBC"/>
    <w:multiLevelType w:val="hybridMultilevel"/>
    <w:tmpl w:val="AC46802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7E0E7-005A-4947-9780-DDCD750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cs="Times New Roman"/>
      <w:szCs w:val="24"/>
      <w:lang w:val="de-AT" w:eastAsia="de-AT"/>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lang w:val="de-AT" w:eastAsia="de-AT"/>
    </w:rPr>
  </w:style>
  <w:style w:type="paragraph" w:styleId="Inhaltsverzeichnisberschrift">
    <w:name w:val="TOC Heading"/>
    <w:basedOn w:val="berschrift1"/>
    <w:next w:val="Standard"/>
    <w:uiPriority w:val="39"/>
    <w:unhideWhenUsed/>
    <w:qFormat/>
    <w:pPr>
      <w:spacing w:line="259" w:lineRule="auto"/>
      <w:outlineLvl w:val="9"/>
    </w:p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40"/>
    </w:pPr>
  </w:style>
  <w:style w:type="paragraph" w:styleId="Verzeichnis3">
    <w:name w:val="toc 3"/>
    <w:basedOn w:val="Standard"/>
    <w:next w:val="Standard"/>
    <w:autoRedefine/>
    <w:uiPriority w:val="39"/>
    <w:unhideWhenUsed/>
    <w:pPr>
      <w:spacing w:after="100"/>
      <w:ind w:left="480"/>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hAnsi="Times New Roman" w:cs="Times New Roman"/>
      <w:szCs w:val="24"/>
      <w:lang w:val="de-AT" w:eastAsia="de-AT"/>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hAnsi="Times New Roman" w:cs="Times New Roman"/>
      <w:szCs w:val="24"/>
      <w:lang w:val="de-AT" w:eastAsia="de-AT"/>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1070">
      <w:bodyDiv w:val="1"/>
      <w:marLeft w:val="0"/>
      <w:marRight w:val="0"/>
      <w:marTop w:val="0"/>
      <w:marBottom w:val="0"/>
      <w:divBdr>
        <w:top w:val="none" w:sz="0" w:space="0" w:color="auto"/>
        <w:left w:val="none" w:sz="0" w:space="0" w:color="auto"/>
        <w:bottom w:val="none" w:sz="0" w:space="0" w:color="auto"/>
        <w:right w:val="none" w:sz="0" w:space="0" w:color="auto"/>
      </w:divBdr>
    </w:div>
    <w:div w:id="11349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grationsfonds.at/sprache/integrationsvereinbarung/integrationsvereinbarung-2017-und-intg-dv-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E6C08-296C-4068-BF67-51421449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6420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DÜZEL Murat</dc:creator>
  <cp:keywords/>
  <dc:description/>
  <cp:lastModifiedBy>Ortner Nathalie (IVW2_6)</cp:lastModifiedBy>
  <cp:revision>4</cp:revision>
  <dcterms:created xsi:type="dcterms:W3CDTF">2024-12-03T12:27:00Z</dcterms:created>
  <dcterms:modified xsi:type="dcterms:W3CDTF">2024-12-04T06:58:00Z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INTEGRATION - Dienstanweisungen; Verordnungen; Gesetze; </vt:lpwstr>
  </property>
  <property fmtid="{D5CDD505-2E9C-101B-9397-08002B2CF9AE}" pid="9" name="FSC#FSCLAKIS@15.1000:Bearbeiter_Tit_NN">
    <vt:lpwstr>Mörzinger</vt:lpwstr>
  </property>
  <property fmtid="{D5CDD505-2E9C-101B-9397-08002B2CF9AE}" pid="10" name="FSC#FSCLAKIS@15.1000:Bearbeiter_Tit_VN_NN">
    <vt:lpwstr>Katrin Mörzinger</vt:lpwstr>
  </property>
  <property fmtid="{D5CDD505-2E9C-101B-9397-08002B2CF9AE}" pid="11" name="FSC#FSCLAKIS@15.1000:Beilagen">
    <vt:lpwstr/>
  </property>
  <property fmtid="{D5CDD505-2E9C-101B-9397-08002B2CF9AE}" pid="12" name="FSC#FSCLAKIS@15.1000:Betreff">
    <vt:lpwstr>Dienstanweisung: Förderung von Integrationsprojekten, Anträge und Projektabwicklung</vt:lpwstr>
  </property>
  <property fmtid="{D5CDD505-2E9C-101B-9397-08002B2CF9AE}" pid="13" name="FSC#FSCLAKIS@15.1000:Bezug">
    <vt:lpwstr/>
  </property>
  <property fmtid="{D5CDD505-2E9C-101B-9397-08002B2CF9AE}" pid="14" name="FSC#FSCLAKIS@15.1000:DW_Bearbeiter">
    <vt:lpwstr>12571</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10.05.2021</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IVW2-INT-2025/004-2021</vt:lpwstr>
  </property>
  <property fmtid="{D5CDD505-2E9C-101B-9397-08002B2CF9AE}" pid="24" name="FSC#FSCLAKIS@15.1000:Objektname">
    <vt:lpwstr>Förderbare Themenfelder und Zielgruppen für Integrationsprojekte</vt:lpwstr>
  </property>
  <property fmtid="{D5CDD505-2E9C-101B-9397-08002B2CF9AE}" pid="25" name="FSC#FSCLAKIS@15.1000:RsabAbsender">
    <vt:lpwstr>Amt der NÖ Landesregierung_x000d_
Abteilung Staatsbürgerschaft und Wahlen_x000d_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M ö r z i n g e r</vt:lpwstr>
  </property>
  <property fmtid="{D5CDD505-2E9C-101B-9397-08002B2CF9AE}" pid="34" name="FSC#FSCLAKIS@15.1000:Systemaenderungszeitpunkt">
    <vt:lpwstr>10. Mai 2021</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Katrin Mörzinger</vt:lpwstr>
  </property>
  <property fmtid="{D5CDD505-2E9C-101B-9397-08002B2CF9AE}" pid="43" name="FSC#FSCLAKIS@15.1000:DW_Eigentuemer_Objekt">
    <vt:lpwstr>12571</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INTEGRATION - Dienstanweisungen; Verordnungen; Gesetze; </vt:lpwstr>
  </property>
  <property fmtid="{D5CDD505-2E9C-101B-9397-08002B2CF9AE}" pid="67" name="FSC#COOELAK@1.1001:FileReference">
    <vt:lpwstr>IVW2-INT-2025-2019</vt:lpwstr>
  </property>
  <property fmtid="{D5CDD505-2E9C-101B-9397-08002B2CF9AE}" pid="68" name="FSC#COOELAK@1.1001:FileRefYear">
    <vt:lpwstr>2019</vt:lpwstr>
  </property>
  <property fmtid="{D5CDD505-2E9C-101B-9397-08002B2CF9AE}" pid="69" name="FSC#COOELAK@1.1001:FileRefOrdinal">
    <vt:lpwstr>2025</vt:lpwstr>
  </property>
  <property fmtid="{D5CDD505-2E9C-101B-9397-08002B2CF9AE}" pid="70" name="FSC#COOELAK@1.1001:FileRefOU">
    <vt:lpwstr>IVW2</vt:lpwstr>
  </property>
  <property fmtid="{D5CDD505-2E9C-101B-9397-08002B2CF9AE}" pid="71" name="FSC#COOELAK@1.1001:Organization">
    <vt:lpwstr/>
  </property>
  <property fmtid="{D5CDD505-2E9C-101B-9397-08002B2CF9AE}" pid="72" name="FSC#COOELAK@1.1001:Owner">
    <vt:lpwstr>Mörzinger Katrin</vt:lpwstr>
  </property>
  <property fmtid="{D5CDD505-2E9C-101B-9397-08002B2CF9AE}" pid="73" name="FSC#COOELAK@1.1001:OwnerExtension">
    <vt:lpwstr>12571</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IVW2 (Abteilung Staatsbürgerschaft und Wahlen)</vt:lpwstr>
  </property>
  <property fmtid="{D5CDD505-2E9C-101B-9397-08002B2CF9AE}" pid="80" name="FSC#COOELAK@1.1001:CreatedAt">
    <vt:lpwstr>10.05.2021</vt:lpwstr>
  </property>
  <property fmtid="{D5CDD505-2E9C-101B-9397-08002B2CF9AE}" pid="81" name="FSC#COOELAK@1.1001:OU">
    <vt:lpwstr>IVW2 (Abteilung Staatsbürgerschaft und Wahlen)</vt:lpwstr>
  </property>
  <property fmtid="{D5CDD505-2E9C-101B-9397-08002B2CF9AE}" pid="82" name="FSC#COOELAK@1.1001:Priority">
    <vt:lpwstr> ()</vt:lpwstr>
  </property>
  <property fmtid="{D5CDD505-2E9C-101B-9397-08002B2CF9AE}" pid="83" name="FSC#COOELAK@1.1001:ObjBarCode">
    <vt:lpwstr>*COO.1000.8802.67.2416124*</vt:lpwstr>
  </property>
  <property fmtid="{D5CDD505-2E9C-101B-9397-08002B2CF9AE}" pid="84" name="FSC#COOELAK@1.1001:RefBarCode">
    <vt:lpwstr>*COO.1000.8802.2.14343421*</vt:lpwstr>
  </property>
  <property fmtid="{D5CDD505-2E9C-101B-9397-08002B2CF9AE}" pid="85" name="FSC#COOELAK@1.1001:FileRefBarCode">
    <vt:lpwstr>*IVW2-INT-2025-2019*</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INT</vt:lpwstr>
  </property>
  <property fmtid="{D5CDD505-2E9C-101B-9397-08002B2CF9AE}" pid="99" name="FSC#COOELAK@1.1001:CurrentUserRolePos">
    <vt:lpwstr>Kanzleileitung</vt:lpwstr>
  </property>
  <property fmtid="{D5CDD505-2E9C-101B-9397-08002B2CF9AE}" pid="100" name="FSC#COOELAK@1.1001:CurrentUserEmail">
    <vt:lpwstr>thomas.keusch@noel.gv.at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Katrin Mörzinger</vt:lpwstr>
  </property>
  <property fmtid="{D5CDD505-2E9C-101B-9397-08002B2CF9AE}" pid="108" name="FSC#ATSTATECFG@1.1001:AgentPhone">
    <vt:lpwstr>12571</vt:lpwstr>
  </property>
  <property fmtid="{D5CDD505-2E9C-101B-9397-08002B2CF9AE}" pid="109" name="FSC#ATSTATECFG@1.1001:DepartmentFax">
    <vt:lpwstr/>
  </property>
  <property fmtid="{D5CDD505-2E9C-101B-9397-08002B2CF9AE}" pid="110" name="FSC#ATSTATECFG@1.1001:DepartmentEmail">
    <vt:lpwstr>post.ivw2@noel.gv.at</vt:lpwstr>
  </property>
  <property fmtid="{D5CDD505-2E9C-101B-9397-08002B2CF9AE}" pid="111" name="FSC#ATSTATECFG@1.1001:SubfileDate">
    <vt:lpwstr>27.01.2021</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ATSTATECFG@1.1001:DepartmentDVR">
    <vt:lpwstr/>
  </property>
  <property fmtid="{D5CDD505-2E9C-101B-9397-08002B2CF9AE}" pid="118" name="FSC#ATSTATECFG@1.1001:DepartmentUID">
    <vt:lpwstr/>
  </property>
  <property fmtid="{D5CDD505-2E9C-101B-9397-08002B2CF9AE}" pid="119" name="FSC#ATSTATECFG@1.1001:SubfileReference">
    <vt:lpwstr>IVW2-INT-2025/004-2021</vt:lpwstr>
  </property>
  <property fmtid="{D5CDD505-2E9C-101B-9397-08002B2CF9AE}" pid="120" name="FSC#ATSTATECFG@1.1001:Clause">
    <vt:lpwstr/>
  </property>
  <property fmtid="{D5CDD505-2E9C-101B-9397-08002B2CF9AE}" pid="121" name="FSC#ATSTATECFG@1.1001:ApprovedSignature">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COOELAK@1.1001:ObjectAddressees">
    <vt:lpwstr/>
  </property>
  <property fmtid="{D5CDD505-2E9C-101B-9397-08002B2CF9AE}" pid="130" name="FSC#COOELAK@1.1001:replyreference">
    <vt:lpwstr/>
  </property>
  <property fmtid="{D5CDD505-2E9C-101B-9397-08002B2CF9AE}" pid="131" name="FSC#ATPRECONFIG@1.1001:ChargePreview">
    <vt:lpwstr/>
  </property>
  <property fmtid="{D5CDD505-2E9C-101B-9397-08002B2CF9AE}" pid="132" name="FSC#ATSTATECFG@1.1001:ExternalFile">
    <vt:lpwstr>Bezug: </vt:lpwstr>
  </property>
  <property fmtid="{D5CDD505-2E9C-101B-9397-08002B2CF9AE}" pid="133" name="FSC#COOSYSTEM@1.1:Container">
    <vt:lpwstr>COO.1000.8802.67.2416124</vt:lpwstr>
  </property>
  <property fmtid="{D5CDD505-2E9C-101B-9397-08002B2CF9AE}" pid="134" name="FSC#FSCFOLIO@1.1001:docpropproject">
    <vt:lpwstr/>
  </property>
  <property fmtid="{D5CDD505-2E9C-101B-9397-08002B2CF9AE}" pid="135" name="FSC$NOPARSEFILE">
    <vt:bool>true</vt:bool>
  </property>
</Properties>
</file>